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7AA02">
      <w:pPr>
        <w:spacing w:before="390" w:line="219" w:lineRule="auto"/>
        <w:jc w:val="center"/>
        <w:rPr>
          <w:rFonts w:hint="eastAsia" w:ascii="方正小标宋简体" w:hAnsi="方正小标宋简体" w:eastAsia="方正小标宋简体" w:cs="方正小标宋简体"/>
          <w:b w:val="0"/>
          <w:bCs w:val="0"/>
          <w:sz w:val="78"/>
          <w:szCs w:val="78"/>
        </w:rPr>
      </w:pPr>
      <w:r>
        <w:rPr>
          <w:rFonts w:hint="eastAsia" w:ascii="方正小标宋简体" w:hAnsi="方正小标宋简体" w:eastAsia="方正小标宋简体" w:cs="方正小标宋简体"/>
          <w:b w:val="0"/>
          <w:bCs w:val="0"/>
          <w:color w:val="F80000"/>
          <w:spacing w:val="-74"/>
          <w:w w:val="88"/>
          <w:sz w:val="78"/>
          <w:szCs w:val="78"/>
        </w:rPr>
        <w:t>国家金融监督管理总局办公厅</w:t>
      </w:r>
    </w:p>
    <w:p w14:paraId="0EE6E78A">
      <w:pPr>
        <w:wordWrap w:val="0"/>
        <w:spacing w:line="300" w:lineRule="exact"/>
        <w:jc w:val="right"/>
        <w:rPr>
          <w:rFonts w:hint="eastAsia" w:ascii="仿宋_GB2312"/>
          <w:color w:val="FF0000"/>
        </w:rPr>
      </w:pPr>
      <w:r>
        <w:rPr>
          <w:sz w:val="1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160020</wp:posOffset>
                </wp:positionV>
                <wp:extent cx="5741035" cy="12700"/>
                <wp:effectExtent l="0" t="0" r="0" b="0"/>
                <wp:wrapNone/>
                <wp:docPr id="1" name="直接连接符 1"/>
                <wp:cNvGraphicFramePr/>
                <a:graphic xmlns:a="http://schemas.openxmlformats.org/drawingml/2006/main">
                  <a:graphicData uri="http://schemas.microsoft.com/office/word/2010/wordprocessingShape">
                    <wps:wsp>
                      <wps:cNvCnPr/>
                      <wps:spPr>
                        <a:xfrm>
                          <a:off x="899795" y="2172335"/>
                          <a:ext cx="5741035" cy="1270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2.6pt;height:1pt;width:452.05pt;z-index:251660288;mso-width-relative:page;mso-height-relative:page;" filled="f" stroked="t" coordsize="21600,21600" o:gfxdata="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&#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z6RV1QAAAAYBAAAPAAAAAAAAAAEAIAAAACIAAABk&#10;cnMvZG93bnJldi54bWxQSwECFAAUAAAACACHTuJAMzfFvwkCAAD0AwAADgAAAAAAAAABACAAAAAk&#10;AQAAZHJzL2Uyb0RvYy54bWxQSwUGAAAAAAYABgBZAQAAnwUAAAAA&#10;">
                <v:fill on="f" focussize="0,0"/>
                <v:stroke weight="2.25pt" color="#FF0000" joinstyle="round"/>
                <v:imagedata o:title=""/>
                <o:lock v:ext="edit" aspectratio="f"/>
              </v:line>
            </w:pict>
          </mc:Fallback>
        </mc:AlternateContent>
      </w:r>
    </w:p>
    <w:p w14:paraId="3F146CE9">
      <w:pPr>
        <w:jc w:val="right"/>
        <w:rPr>
          <w:rFonts w:hint="eastAsia" w:ascii="仿宋_GB2312"/>
          <w:color w:val="FF0000"/>
        </w:rPr>
      </w:pPr>
      <w:r>
        <w:rPr>
          <w:sz w:val="21"/>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10795</wp:posOffset>
                </wp:positionV>
                <wp:extent cx="5742305" cy="12700"/>
                <wp:effectExtent l="0" t="6350" r="10795" b="9525"/>
                <wp:wrapNone/>
                <wp:docPr id="2" name="直接连接符 2"/>
                <wp:cNvGraphicFramePr/>
                <a:graphic xmlns:a="http://schemas.openxmlformats.org/drawingml/2006/main">
                  <a:graphicData uri="http://schemas.microsoft.com/office/word/2010/wordprocessingShape">
                    <wps:wsp>
                      <wps:cNvCnPr/>
                      <wps:spPr>
                        <a:xfrm>
                          <a:off x="897890" y="2213610"/>
                          <a:ext cx="5742305" cy="12700"/>
                        </a:xfrm>
                        <a:prstGeom prst="line">
                          <a:avLst/>
                        </a:prstGeom>
                        <a:ln w="127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0.85pt;height:1pt;width:452.15pt;z-index:251661312;mso-width-relative:page;mso-height-relative:page;" filled="f" stroked="t" coordsize="21600,21600" o:gfxdata="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j4v8jVAAAABQEAAA8AAAAAAAAAAQAgAAAAIgAAAGRycy9k&#10;b3ducmV2LnhtbFBLAQIUABQAAAAIAIdO4kAAfJUJBQIAAPQDAAAOAAAAAAAAAAEAIAAAACQBAABk&#10;cnMvZTJvRG9jLnhtbFBLBQYAAAAABgAGAFkBAACbBQAAAAA=&#10;">
                <v:fill on="f" focussize="0,0"/>
                <v:stroke weight="1pt" color="#FF0000" joinstyle="round"/>
                <v:imagedata o:title=""/>
                <o:lock v:ext="edit" aspectratio="f"/>
              </v:line>
            </w:pict>
          </mc:Fallback>
        </mc:AlternateContent>
      </w:r>
    </w:p>
    <w:p w14:paraId="2F44E17C">
      <w:pPr>
        <w:keepNext w:val="0"/>
        <w:keepLines w:val="0"/>
        <w:pageBreakBefore w:val="0"/>
        <w:widowControl w:val="0"/>
        <w:kinsoku w:val="0"/>
        <w:wordWrap/>
        <w:overflowPunct/>
        <w:topLinePunct w:val="0"/>
        <w:autoSpaceDE w:val="0"/>
        <w:autoSpaceDN w:val="0"/>
        <w:bidi w:val="0"/>
        <w:adjustRightInd w:val="0"/>
        <w:snapToGrid w:val="0"/>
        <w:spacing w:line="600" w:lineRule="exact"/>
        <w:ind w:right="0" w:firstLine="320" w:firstLineChars="100"/>
        <w:jc w:val="both"/>
        <w:textAlignment w:val="baseline"/>
        <w:rPr>
          <w:rFonts w:hint="eastAsia" w:ascii="黑体" w:hAnsi="黑体" w:eastAsia="黑体" w:cs="黑体"/>
          <w:b w:val="0"/>
          <w:bCs w:val="0"/>
          <w:spacing w:val="0"/>
          <w:position w:val="0"/>
          <w:sz w:val="32"/>
          <w:szCs w:val="32"/>
        </w:rPr>
      </w:pPr>
    </w:p>
    <w:p w14:paraId="1CDE46D0">
      <w:pPr>
        <w:keepNext w:val="0"/>
        <w:keepLines w:val="0"/>
        <w:pageBreakBefore w:val="0"/>
        <w:widowControl w:val="0"/>
        <w:kinsoku w:val="0"/>
        <w:wordWrap/>
        <w:overflowPunct/>
        <w:topLinePunct w:val="0"/>
        <w:autoSpaceDE w:val="0"/>
        <w:autoSpaceDN w:val="0"/>
        <w:bidi w:val="0"/>
        <w:adjustRightInd w:val="0"/>
        <w:snapToGrid w:val="0"/>
        <w:spacing w:line="640" w:lineRule="exact"/>
        <w:ind w:right="0" w:firstLine="320" w:firstLineChars="100"/>
        <w:jc w:val="both"/>
        <w:textAlignment w:val="baseline"/>
        <w:rPr>
          <w:rFonts w:hint="eastAsia" w:ascii="仿宋_GB2312" w:hAnsi="仿宋_GB2312" w:eastAsia="仿宋_GB2312" w:cs="仿宋_GB2312"/>
          <w:spacing w:val="0"/>
          <w:position w:val="0"/>
          <w:sz w:val="32"/>
          <w:szCs w:val="32"/>
        </w:rPr>
      </w:pPr>
      <w:r>
        <w:rPr>
          <w:rFonts w:hint="eastAsia" w:ascii="黑体" w:hAnsi="黑体" w:eastAsia="黑体" w:cs="黑体"/>
          <w:b w:val="0"/>
          <w:bCs w:val="0"/>
          <w:spacing w:val="0"/>
          <w:position w:val="0"/>
          <w:sz w:val="32"/>
          <w:szCs w:val="32"/>
        </w:rPr>
        <w:t>内部</w:t>
      </w:r>
      <w:r>
        <w:rPr>
          <w:rFonts w:hint="eastAsia" w:ascii="黑体" w:hAnsi="黑体" w:eastAsia="黑体" w:cs="黑体"/>
          <w:b w:val="0"/>
          <w:bCs w:val="0"/>
          <w:spacing w:val="0"/>
          <w:position w:val="0"/>
          <w:sz w:val="32"/>
          <w:szCs w:val="32"/>
          <w:lang w:val="en-US" w:eastAsia="zh-CN"/>
        </w:rPr>
        <w:t xml:space="preserve">                            </w:t>
      </w:r>
      <w:r>
        <w:rPr>
          <w:rFonts w:hint="eastAsia" w:ascii="仿宋_GB2312" w:hAnsi="仿宋_GB2312" w:eastAsia="仿宋_GB2312" w:cs="仿宋_GB2312"/>
          <w:spacing w:val="0"/>
          <w:position w:val="0"/>
          <w:sz w:val="32"/>
          <w:szCs w:val="32"/>
        </w:rPr>
        <w:t>金办便函〔2024〕1135号</w:t>
      </w:r>
    </w:p>
    <w:p w14:paraId="2D902398">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position w:val="0"/>
          <w:sz w:val="32"/>
          <w:szCs w:val="32"/>
        </w:rPr>
      </w:pPr>
    </w:p>
    <w:p w14:paraId="1AF3B8AE">
      <w:pPr>
        <w:keepNext w:val="0"/>
        <w:keepLines w:val="0"/>
        <w:pageBreakBefore w:val="0"/>
        <w:widowControl w:val="0"/>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t>国家金融监督管理总局办公厅关于开展</w:t>
      </w:r>
    </w:p>
    <w:p w14:paraId="4F062373">
      <w:pPr>
        <w:keepNext w:val="0"/>
        <w:keepLines w:val="0"/>
        <w:pageBreakBefore w:val="0"/>
        <w:widowControl w:val="0"/>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t>推动小微企业综合融资成本稳中有降</w:t>
      </w:r>
    </w:p>
    <w:p w14:paraId="20A2B295">
      <w:pPr>
        <w:keepNext w:val="0"/>
        <w:keepLines w:val="0"/>
        <w:pageBreakBefore w:val="0"/>
        <w:widowControl w:val="0"/>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pacing w:val="0"/>
          <w:position w:val="0"/>
          <w:sz w:val="44"/>
          <w:szCs w:val="44"/>
          <w14:textFill>
            <w14:solidFill>
              <w14:schemeClr w14:val="tx1"/>
            </w14:solidFill>
          </w14:textFill>
        </w:rPr>
        <w:t>专项行动的通知</w:t>
      </w:r>
    </w:p>
    <w:p w14:paraId="208F6060">
      <w:pPr>
        <w:keepNext w:val="0"/>
        <w:keepLines w:val="0"/>
        <w:pageBreakBefore w:val="0"/>
        <w:widowControl w:val="0"/>
        <w:kinsoku w:val="0"/>
        <w:wordWrap/>
        <w:overflowPunct/>
        <w:topLinePunct w:val="0"/>
        <w:autoSpaceDE w:val="0"/>
        <w:autoSpaceDN w:val="0"/>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p>
    <w:p w14:paraId="3FFD0881">
      <w:pPr>
        <w:pStyle w:val="2"/>
        <w:keepNext w:val="0"/>
        <w:keepLines w:val="0"/>
        <w:pageBreakBefore w:val="0"/>
        <w:widowControl w:val="0"/>
        <w:kinsoku w:val="0"/>
        <w:wordWrap/>
        <w:overflowPunct/>
        <w:topLinePunct w:val="0"/>
        <w:autoSpaceDE w:val="0"/>
        <w:autoSpaceDN w:val="0"/>
        <w:bidi w:val="0"/>
        <w:adjustRightInd w:val="0"/>
        <w:snapToGrid w:val="0"/>
        <w:spacing w:line="640" w:lineRule="exact"/>
        <w:ind w:right="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各金融监管局，各政策性银行、大型银行、股份制银行，各财险公司：</w:t>
      </w:r>
    </w:p>
    <w:p w14:paraId="174B2A11">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为深入贯彻落实党的二十届三中全会、中央金融工作会议、中央经济工作会议精神，落实2024年《政府工作报告》要求，金融监管总局决定组织银行保险机构开展专项行动，进一步加强小微企业融资服务定价管理，清理违规收费，规范与第三方合作，促进综合融资成本稳中有降。现将有关事项通知如下：</w:t>
      </w:r>
    </w:p>
    <w:p w14:paraId="611FB80E">
      <w:pPr>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outlineLvl w:val="0"/>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一、完善贷款利率定价机制</w:t>
      </w:r>
    </w:p>
    <w:p w14:paraId="07B32B9F">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spacing w:val="0"/>
          <w:w w:val="100"/>
          <w:sz w:val="32"/>
        </w:rPr>
        <mc:AlternateContent>
          <mc:Choice Requires="wpg">
            <w:drawing>
              <wp:anchor distT="0" distB="0" distL="114300" distR="114300" simplePos="0" relativeHeight="251662336" behindDoc="0" locked="0" layoutInCell="1" allowOverlap="1">
                <wp:simplePos x="0" y="0"/>
                <wp:positionH relativeFrom="column">
                  <wp:posOffset>13970</wp:posOffset>
                </wp:positionH>
                <wp:positionV relativeFrom="paragraph">
                  <wp:posOffset>1123315</wp:posOffset>
                </wp:positionV>
                <wp:extent cx="5742305" cy="47625"/>
                <wp:effectExtent l="0" t="6350" r="10795" b="22225"/>
                <wp:wrapNone/>
                <wp:docPr id="8" name="组合 8"/>
                <wp:cNvGraphicFramePr/>
                <a:graphic xmlns:a="http://schemas.openxmlformats.org/drawingml/2006/main">
                  <a:graphicData uri="http://schemas.microsoft.com/office/word/2010/wordprocessingGroup">
                    <wpg:wgp>
                      <wpg:cNvGrpSpPr/>
                      <wpg:grpSpPr>
                        <a:xfrm>
                          <a:off x="0" y="0"/>
                          <a:ext cx="5742305" cy="47625"/>
                          <a:chOff x="9146" y="15349"/>
                          <a:chExt cx="9043" cy="75"/>
                        </a:xfrm>
                      </wpg:grpSpPr>
                      <wps:wsp>
                        <wps:cNvPr id="3" name="直接连接符 3"/>
                        <wps:cNvCnPr/>
                        <wps:spPr>
                          <a:xfrm>
                            <a:off x="9149" y="15404"/>
                            <a:ext cx="9041" cy="20"/>
                          </a:xfrm>
                          <a:prstGeom prst="line">
                            <a:avLst/>
                          </a:prstGeom>
                          <a:ln w="28575" cap="flat" cmpd="sng">
                            <a:solidFill>
                              <a:srgbClr val="FF0000"/>
                            </a:solidFill>
                            <a:prstDash val="solid"/>
                            <a:headEnd type="none" w="med" len="med"/>
                            <a:tailEnd type="none" w="med" len="med"/>
                          </a:ln>
                        </wps:spPr>
                        <wps:bodyPr upright="1"/>
                      </wps:wsp>
                      <wps:wsp>
                        <wps:cNvPr id="5" name="直接连接符 5"/>
                        <wps:cNvCnPr/>
                        <wps:spPr>
                          <a:xfrm>
                            <a:off x="9146" y="15349"/>
                            <a:ext cx="9043" cy="14"/>
                          </a:xfrm>
                          <a:prstGeom prst="line">
                            <a:avLst/>
                          </a:prstGeom>
                          <a:ln w="1270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1pt;margin-top:88.45pt;height:3.75pt;width:452.15pt;z-index:251662336;mso-width-relative:page;mso-height-relative:page;" coordorigin="9146,15349" coordsize="9043,75" o:gfxdata="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o2x2x2gAAAAkBAAAPAAAAAAAAAAEAIAAAACIAAABkcnMvZG93bnJldi54bWxQ&#10;SwECFAAUAAAACACHTuJApRZ+3KACAAAkBwAADgAAAAAAAAABACAAAAApAQAAZHJzL2Uyb0RvYy54&#10;bWxQSwUGAAAAAAYABgBZAQAAOwYAAAAA&#10;">
                <o:lock v:ext="edit" aspectratio="f"/>
                <v:line id="_x0000_s1026" o:spid="_x0000_s1026" o:spt="20" style="position:absolute;left:9149;top:15404;height:20;width:9041;" filled="f" stroked="t" coordsize="21600,21600" o:gfxdata="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EOV7sAAADa&#10;AAAADwAAAAAAAAABACAAAAAiAAAAZHJzL2Rvd25yZXYueG1sUEsBAhQAFAAAAAgAh07iQDMvBZ47&#10;AAAAOQAAABAAAAAAAAAAAQAgAAAACgEAAGRycy9zaGFwZXhtbC54bWxQSwUGAAAAAAYABgBbAQAA&#10;tAMAAAAA&#10;">
                  <v:fill on="f" focussize="0,0"/>
                  <v:stroke weight="2.25pt" color="#FF0000" joinstyle="round"/>
                  <v:imagedata o:title=""/>
                  <o:lock v:ext="edit" aspectratio="f"/>
                </v:line>
                <v:line id="_x0000_s1026" o:spid="_x0000_s1026" o:spt="20" style="position:absolute;left:9146;top:15349;height:14;width:9043;" filled="f" stroked="t" coordsize="21600,21600" o:gfxdata="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3Deb4A&#10;AADaAAAADwAAAAAAAAABACAAAAAiAAAAZHJzL2Rvd25yZXYueG1sUEsBAhQAFAAAAAgAh07iQDMv&#10;BZ47AAAAOQAAABAAAAAAAAAAAQAgAAAADQEAAGRycy9zaGFwZXhtbC54bWxQSwUGAAAAAAYABgBb&#10;AQAAtwMAAAAA&#10;">
                  <v:fill on="f" focussize="0,0"/>
                  <v:stroke weight="1pt" color="#FF0000" joinstyle="round"/>
                  <v:imagedata o:title=""/>
                  <o:lock v:ext="edit" aspectratio="f"/>
                </v:line>
              </v:group>
            </w:pict>
          </mc:Fallback>
        </mc:AlternateContent>
      </w:r>
      <w:r>
        <w:rPr>
          <w:rFonts w:hint="eastAsia" w:ascii="仿宋_GB2312" w:hAnsi="仿宋_GB2312" w:eastAsia="仿宋_GB2312" w:cs="仿宋_GB2312"/>
          <w:spacing w:val="0"/>
          <w:w w:val="100"/>
          <w:sz w:val="32"/>
          <w:szCs w:val="32"/>
        </w:rPr>
        <w:t>银行业金融机构要加强小微企业</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含个体工商户、小微企业主</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贷款定价管理，结合贷款市场报价利率</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LPR</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自身资金成本和小微企业客群特征、风险状况等，科学合理确定小微企业贷款利率，及时根据LPR走势调整小微企业贷款利率。完善成本收益分摊机制，提高资金管理水平，确保将税收减免、财政奖补等政策红利充分体现在小微企业贷款利率定价中。</w:t>
      </w:r>
    </w:p>
    <w:p w14:paraId="0A334FBC">
      <w:pPr>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outlineLvl w:val="0"/>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二、严格落实服务收费规定</w:t>
      </w:r>
    </w:p>
    <w:p w14:paraId="77EEA3DB">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银行业金融机构要规范小微企业信贷融资各环节收费与管理，进一步清理违规收费行为。严格执行《关于进一步规范信贷融资收费降低企业融资综合成本的通知》</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银保监发〔2020〕18号</w:t>
      </w: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关于小微企业融资收费的规定和“两禁两限”要求。除银团贷款外，对小微企业贷款不得收取承诺费、资金管理费，严格限制收取财务顾问费、咨询费。不得向小微企业收取信贷资信证明费、提前还款或者延迟用款违约金。不得质价不符、存贷挂钩、浮利分费、强制搭售。不得违规向小微企业转嫁相关借款人意外保险保费、不动产抵押登记费、抵押评估费等费用。依法合理分担小微企业抵押物财产险保费。</w:t>
      </w:r>
    </w:p>
    <w:p w14:paraId="646FA376">
      <w:pPr>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outlineLvl w:val="0"/>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三、规范管理与第三方合作行为</w:t>
      </w:r>
    </w:p>
    <w:p w14:paraId="021E956B">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银行业金融机构要加强第三方机构合作管理，充分研究论证合作的必要性，切实掌握第三方机构收费、小微企业综合融资成本等情况，及时停止与收费过高的第三方机构合作。对于第三方机构推荐的客户，要向其告知直接向本单位提出信贷申请的程序和息费水平。强化员工管理，定期排查员工行为，重点关注与第三方机构勾结抬高小微企业融资综合成本等情况，及时做好案例通报和警示教育。</w:t>
      </w:r>
    </w:p>
    <w:p w14:paraId="37688B35">
      <w:pPr>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outlineLvl w:val="0"/>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四、合理确定融资增信安排</w:t>
      </w:r>
    </w:p>
    <w:p w14:paraId="4FDAB655">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银行保险机构要根据小微企业资信和风险状况，科学合理确定与信贷相关的增信安排。除特定标准化产品外，银行业金融机构不得为小微企业指定增信机构。在现有措施可有效覆盖风险的情况下，原则上不得要求企业额外追加增信手段。保险公司要适当控制对小微企业融资增信分险产品的利润目标，将保险费率确定在合理水平，不得提供明显高于本公司同类或市场类似产品费率的融资增信分险产品，增加企业融资负担。</w:t>
      </w:r>
    </w:p>
    <w:p w14:paraId="73899666">
      <w:pPr>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outlineLvl w:val="0"/>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五、加强信息披露</w:t>
      </w:r>
    </w:p>
    <w:p w14:paraId="0A23C3DC">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银行保险机构要强化服务价格披露，公示服务收费事项，向小微企业如实充分告知年化综合融资成本。银行业金融机构要在小微企业借款或服务合同中明确列示收取利息和各项费用，不得在合同约定之外收取费用。未经客户授权，不得从发放的贷款资金中直接扣收信贷融资相关费用。保险公司向小微企业推荐融资增信分险产品时，要充分说明保险产品类型、费率及与信贷申请的关系，明确告知提供贷款的合作方，充分说明贷款申请条件、风险缓释要求、涉及的相关费用和综合成本。</w:t>
      </w:r>
    </w:p>
    <w:p w14:paraId="0517804B">
      <w:pPr>
        <w:pStyle w:val="2"/>
        <w:keepNext w:val="0"/>
        <w:keepLines w:val="0"/>
        <w:pageBreakBefore w:val="0"/>
        <w:widowControl w:val="0"/>
        <w:kinsoku/>
        <w:wordWrap/>
        <w:overflowPunct/>
        <w:topLinePunct/>
        <w:autoSpaceDE w:val="0"/>
        <w:autoSpaceDN/>
        <w:bidi w:val="0"/>
        <w:adjustRightInd w:val="0"/>
        <w:snapToGrid w:val="0"/>
        <w:spacing w:line="640" w:lineRule="exact"/>
        <w:ind w:left="0" w:right="0" w:firstLine="640" w:firstLineChars="2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各银行保险机构要高度重视，对照推动小微企业综合融资成本稳中有降专项行动工作重点，结合内部审计等现有工作机制，定期开展排查，对发现的问题立行立改，逐项纠正，同时举一反三，针对性完善内部管理制度，健全长效机制。</w:t>
      </w:r>
    </w:p>
    <w:p w14:paraId="0921C7A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w w:val="100"/>
          <w:sz w:val="32"/>
          <w:szCs w:val="32"/>
        </w:rPr>
      </w:pPr>
      <w:bookmarkStart w:id="0" w:name="_GoBack"/>
      <w:bookmarkEnd w:id="0"/>
    </w:p>
    <w:p w14:paraId="27E7E5A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w w:val="100"/>
          <w:sz w:val="32"/>
          <w:szCs w:val="32"/>
        </w:rPr>
      </w:pPr>
    </w:p>
    <w:p w14:paraId="1200917F">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4160" w:firstLineChars="13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国家金融监督管理总局办公厅</w:t>
      </w:r>
    </w:p>
    <w:p w14:paraId="68FDC73E">
      <w:pPr>
        <w:pStyle w:val="2"/>
        <w:keepNext w:val="0"/>
        <w:keepLines w:val="0"/>
        <w:pageBreakBefore w:val="0"/>
        <w:widowControl/>
        <w:kinsoku w:val="0"/>
        <w:wordWrap/>
        <w:overflowPunct/>
        <w:topLinePunct w:val="0"/>
        <w:autoSpaceDE w:val="0"/>
        <w:autoSpaceDN w:val="0"/>
        <w:bidi w:val="0"/>
        <w:adjustRightInd w:val="0"/>
        <w:snapToGrid w:val="0"/>
        <w:spacing w:line="600" w:lineRule="exact"/>
        <w:ind w:right="0" w:firstLine="5440" w:firstLineChars="1700"/>
        <w:jc w:val="both"/>
        <w:textAlignment w:val="baseline"/>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2024年8月26日</w:t>
      </w:r>
    </w:p>
    <w:p w14:paraId="0AEC671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w w:val="100"/>
          <w:sz w:val="32"/>
          <w:szCs w:val="32"/>
        </w:rPr>
      </w:pPr>
    </w:p>
    <w:p w14:paraId="4CCD811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ascii="仿宋_GB2312" w:hAnsi="仿宋_GB2312" w:eastAsia="仿宋_GB2312" w:cs="仿宋_GB2312"/>
          <w:spacing w:val="0"/>
          <w:w w:val="100"/>
          <w:sz w:val="32"/>
          <w:szCs w:val="32"/>
        </w:rPr>
      </w:pPr>
    </w:p>
    <w:p w14:paraId="4DF1F18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40" w:firstLineChars="200"/>
        <w:jc w:val="both"/>
        <w:textAlignment w:val="baseline"/>
        <w:rPr>
          <w:rFonts w:hint="eastAsia" w:eastAsia="仿宋_GB2312"/>
          <w:spacing w:val="0"/>
          <w:w w:val="100"/>
          <w:sz w:val="30"/>
          <w:szCs w:val="30"/>
          <w:lang w:eastAsia="zh-CN"/>
        </w:rPr>
      </w:pPr>
      <w:r>
        <w:rPr>
          <w:rFonts w:hint="eastAsia" w:ascii="仿宋_GB2312" w:hAnsi="仿宋_GB2312" w:eastAsia="仿宋_GB2312" w:cs="仿宋_GB2312"/>
          <w:spacing w:val="0"/>
          <w:w w:val="100"/>
          <w:sz w:val="32"/>
          <w:szCs w:val="32"/>
          <w:lang w:eastAsia="zh-CN"/>
        </w:rPr>
        <w:t>（</w:t>
      </w:r>
      <w:r>
        <w:rPr>
          <w:rFonts w:hint="eastAsia" w:ascii="仿宋_GB2312" w:hAnsi="仿宋_GB2312" w:eastAsia="仿宋_GB2312" w:cs="仿宋_GB2312"/>
          <w:spacing w:val="0"/>
          <w:w w:val="100"/>
          <w:sz w:val="32"/>
          <w:szCs w:val="32"/>
        </w:rPr>
        <w:t>此件发至金融监管分局与地方法人银行、财险公司</w:t>
      </w:r>
      <w:r>
        <w:rPr>
          <w:rFonts w:hint="eastAsia" w:eastAsia="仿宋_GB2312"/>
          <w:spacing w:val="0"/>
          <w:w w:val="100"/>
          <w:sz w:val="30"/>
          <w:szCs w:val="30"/>
          <w:lang w:eastAsia="zh-CN"/>
        </w:rPr>
        <w:t>）</w:t>
      </w:r>
    </w:p>
    <w:sectPr>
      <w:footerReference r:id="rId5" w:type="default"/>
      <w:pgSz w:w="11900" w:h="16830"/>
      <w:pgMar w:top="1701" w:right="1417" w:bottom="1701" w:left="1417" w:header="0" w:footer="96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40F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7E70C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87E70C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3B44156"/>
    <w:rsid w:val="291328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1426</Words>
  <Characters>1447</Characters>
  <TotalTime>7</TotalTime>
  <ScaleCrop>false</ScaleCrop>
  <LinksUpToDate>false</LinksUpToDate>
  <CharactersWithSpaces>1475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2025-02-27T10:25:00Z</dcterms:created>
  <dc:creator>Kingsoft-PDF</dc:creator>
  <cp:lastModifiedBy>译丹</cp:lastModifiedBy>
  <dcterms:modified xsi:type="dcterms:W3CDTF">2025-02-27T07:01:55Z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2025-02-27T10:25:33Z</vt:filetime>
  </property>
  <property fmtid="{D5CDD505-2E9C-101B-9397-08002B2CF9AE}" pid="4" name="UsrData">
    <vt:lpwstr>67bfcd1a5bc42f001f3f105awl</vt:lpwstr>
  </property>
  <property fmtid="{D5CDD505-2E9C-101B-9397-08002B2CF9AE}" pid="5" name="KSOTemplateDocerSaveRecord">
    <vt:lpwstr>eyJoZGlkIjoiZjYyNGQ4NDBhNmNjYTU1NzZlZjgxMGQ2YTU2OGFmOGYiLCJ1c2VySWQiOiIzMTU2MTE3OTQifQ==</vt:lpwstr>
  </property>
  <property fmtid="{D5CDD505-2E9C-101B-9397-08002B2CF9AE}" pid="6" name="KSOProductBuildVer">
    <vt:lpwstr>2052-12.1.0.20305</vt:lpwstr>
  </property>
  <property fmtid="{D5CDD505-2E9C-101B-9397-08002B2CF9AE}" pid="7" name="ICV">
    <vt:lpwstr>DF76DC797D894CF4B51C5FC02A00F40C_12</vt:lpwstr>
  </property>
</Properties>
</file>